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26-337</w:t>
      </w:r>
    </w:p>
    <w:p>
      <w:pPr>
        <w:spacing w:before="0" w:after="0" w:line="480"/>
        <w:ind w:left="120"/>
        <w:jc w:val="left"/>
      </w:pPr>
    </w:p>
    <w:p>
      <w:pPr>
        <w:spacing w:before="0" w:after="0" w:line="480"/>
        <w:ind w:left="120"/>
        <w:jc w:val="center"/>
      </w:pPr>
      <w:r>
        <w:rPr>
          <w:rFonts w:ascii="Times New Roman" w:hAnsi="Times New Roman"/>
          <w:b/>
          <w:i w:val="false"/>
          <w:color w:val="000000"/>
          <w:sz w:val="28"/>
        </w:rPr>
        <w:t>WORKERS’ COMPENSATION DIVISION[876]</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876—Chapter 2</w:t>
      </w:r>
    </w:p>
    <w:p>
      <w:pPr>
        <w:spacing w:before="0" w:after="0" w:line="480"/>
        <w:ind w:left="120"/>
        <w:jc w:val="center"/>
      </w:pPr>
      <w:r>
        <w:rPr>
          <w:rFonts w:ascii="Times New Roman" w:hAnsi="Times New Roman"/>
          <w:b w:val="false"/>
          <w:i w:val="false"/>
          <w:color w:val="000000"/>
          <w:sz w:val="24"/>
        </w:rPr>
        <w:t>“General Provisions”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10A.310(1)“a,” 17A, and Executive Order 10</w:t>
      </w:r>
    </w:p>
    <w:p>
      <w:pPr>
        <w:spacing w:before="0" w:after="0" w:line="480"/>
        <w:ind w:left="120"/>
        <w:jc w:val="both"/>
      </w:pPr>
      <w:r>
        <w:rPr>
          <w:rFonts w:ascii="Times New Roman" w:hAnsi="Times New Roman"/>
          <w:b w:val="false"/>
          <w:i w:val="false"/>
          <w:color w:val="000000"/>
          <w:sz w:val="24"/>
        </w:rPr>
        <w:t>State or federal law(s) implemented by the rulemaking: Iowa Code chapters 10A, 85 through 85B, and 87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810"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1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6200 Park Avenue</w:t>
            </w:r>
            <w:r>
              <w:br/>
            </w:r>
            <w:r>
              <w:rPr>
                <w:rFonts w:ascii="Times New Roman" w:hAnsi="Times New Roman"/>
                <w:b w:val="false"/>
                <w:i w:val="false"/>
                <w:color w:val="000000"/>
                <w:sz w:val="14"/>
              </w:rPr>
              <w:t>Des Moines, Iowa</w:t>
            </w:r>
            <w:r>
              <w:br/>
            </w:r>
            <w:r>
              <w:rPr>
                <w:rFonts w:ascii="Times New Roman" w:hAnsi="Times New Roman"/>
                <w:b w:val="false"/>
                <w:i w:val="false"/>
                <w:color w:val="000000"/>
                <w:sz w:val="14"/>
              </w:rPr>
              <w:t>Via videoconference call:</w:t>
            </w:r>
            <w:r>
              <w:br/>
            </w:r>
            <w:r>
              <w:rPr>
                <w:rFonts w:ascii="Times New Roman" w:hAnsi="Times New Roman"/>
                <w:b w:val="false"/>
                <w:i w:val="false"/>
                <w:color w:val="000000"/>
                <w:sz w:val="14"/>
              </w:rPr>
              <w:t xml:space="preserve"> </w:t>
            </w:r>
            <w:hyperlink r:id="rId4">
              <w:r>
                <w:rPr>
                  <w:rStyle w:val="Hyperlink"/>
                  <w:rFonts w:ascii="Times New Roman" w:hAnsi="Times New Roman"/>
                  <w:b w:val="false"/>
                  <w:i w:val="false"/>
                  <w:color w:val="0000ff"/>
                  <w:sz w:val="14"/>
                </w:rPr>
                <w:t>dial-iowa-gov.zoom.us/j/81654334225?pwd=5JUj7K10vOhVPFGUp2QWlyI2imRXx9.1</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Workers’ Compensation Division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William Grell</w:t>
            </w:r>
            <w:r>
              <w:br/>
            </w:r>
            <w:r>
              <w:rPr>
                <w:rFonts w:ascii="Times New Roman" w:hAnsi="Times New Roman"/>
                <w:b w:val="false"/>
                <w:i w:val="false"/>
                <w:color w:val="000000"/>
                <w:sz w:val="14"/>
              </w:rPr>
              <w:t>Interim Workers’ Compensation Commissioner</w:t>
            </w:r>
            <w:r>
              <w:br/>
            </w:r>
            <w:r>
              <w:rPr>
                <w:rFonts w:ascii="Times New Roman" w:hAnsi="Times New Roman"/>
                <w:b w:val="false"/>
                <w:i w:val="false"/>
                <w:color w:val="000000"/>
                <w:sz w:val="14"/>
              </w:rPr>
              <w:t>Iowa Workers’ Compensation Division</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w:t>
            </w:r>
            <w:r>
              <w:br/>
            </w:r>
            <w:r>
              <w:rPr>
                <w:rFonts w:ascii="Times New Roman" w:hAnsi="Times New Roman"/>
                <w:b w:val="false"/>
                <w:i w:val="false"/>
                <w:color w:val="000000"/>
                <w:sz w:val="14"/>
              </w:rPr>
              <w:t>Phone: 515.829.5993</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william.grell@dia.iowa.gov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spacing w:before="0" w:after="0" w:line="480"/>
        <w:ind w:left="120"/>
        <w:jc w:val="both"/>
      </w:pPr>
      <w:r>
        <w:rPr>
          <w:rFonts w:ascii="Times New Roman" w:hAnsi="Times New Roman"/>
          <w:b w:val="false"/>
          <w:i w:val="false"/>
          <w:color w:val="000000"/>
          <w:sz w:val="24"/>
        </w:rPr>
        <w:t>    The purpose of proposed Chapter 2 is as follows.</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876—2.1(10A):</w:t>
      </w:r>
      <w:r>
        <w:rPr>
          <w:rFonts w:ascii="Times New Roman" w:hAnsi="Times New Roman"/>
          <w:b w:val="false"/>
          <w:i w:val="false"/>
          <w:color w:val="000000"/>
          <w:sz w:val="24"/>
        </w:rPr>
        <w:t xml:space="preserve"> The purpose of this proposed rule is to provide flexibility for injured workers, employers, insurers, the Workers’ Compensation Commissioner, and Deputy Commissioner(s) to allow for compliance with any rule. It prevents the rules from being overly punitive should good cause be shown. This proposed rule allows the Commissioner or a Deputy Commissioner to modify the time to comply with any rule if an individual shows good cause.</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876—2.2(85,85A,85B,10A,87):</w:t>
      </w:r>
      <w:r>
        <w:rPr>
          <w:rFonts w:ascii="Times New Roman" w:hAnsi="Times New Roman"/>
          <w:b w:val="false"/>
          <w:i w:val="false"/>
          <w:color w:val="000000"/>
          <w:sz w:val="24"/>
        </w:rPr>
        <w:t xml:space="preserve"> The purpose of this proposed rule is to refer stakeholders to sections of the statute to which the rules apply.</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876—2.3(10A,87):</w:t>
      </w:r>
      <w:r>
        <w:rPr>
          <w:rFonts w:ascii="Times New Roman" w:hAnsi="Times New Roman"/>
          <w:b w:val="false"/>
          <w:i w:val="false"/>
          <w:color w:val="000000"/>
          <w:sz w:val="24"/>
        </w:rPr>
        <w:t xml:space="preserve"> The purpose of this proposed rule is to require insurance companies to have an individual located in Iowa who is knowledgeable of Iowa’s workers’ compensation laws and rules with the responsibility to expedite the handling of all matters within the scope of Iowa law. It also requires that the Commissioner be advised as to the identity and contact information for this person. This provides the Division with clarity as to whom to contact in the event of questions, compliance issues, etc.</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876—2.4(85,10A):</w:t>
      </w:r>
      <w:r>
        <w:rPr>
          <w:rFonts w:ascii="Times New Roman" w:hAnsi="Times New Roman"/>
          <w:b w:val="false"/>
          <w:i w:val="false"/>
          <w:color w:val="000000"/>
          <w:sz w:val="24"/>
        </w:rPr>
        <w:t xml:space="preserve"> The purpose of this proposed rule is to provide clarity to stakeholders as to which edition of the AMA Guides to the Evaluation of Permanent Impairment applies to the evaluation of permanent partial disabilities of injured workers. This proposed rule is implementing a statutory requirement in Iowa Code section 85.34(2).</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876—2.5(85,85A,85B,10A):</w:t>
      </w:r>
      <w:r>
        <w:rPr>
          <w:rFonts w:ascii="Times New Roman" w:hAnsi="Times New Roman"/>
          <w:b w:val="false"/>
          <w:i w:val="false"/>
          <w:color w:val="000000"/>
          <w:sz w:val="24"/>
        </w:rPr>
        <w:t xml:space="preserve"> The purpose of this proposed rule is to streamline and simplify a filing system for documents to be filed with the Division. It allows for easier access to filings in contested cases and for an exception to electronic filing in certain cases. This allows all filings to be kept electronically rather than on unwieldy paper files that require additional space. Keeping these files electronically also adds another layer of security since access is restricted to only certain users.</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876—2.6(85,85A,85B,10A):</w:t>
      </w:r>
      <w:r>
        <w:rPr>
          <w:rFonts w:ascii="Times New Roman" w:hAnsi="Times New Roman"/>
          <w:b w:val="false"/>
          <w:i w:val="false"/>
          <w:color w:val="000000"/>
          <w:sz w:val="24"/>
        </w:rPr>
        <w:t xml:space="preserve"> The purpose of this proposed rule to provide that a final report of the injury, also known as a Subsequent Report of Injury (SROI), is filed with the Division and also sent to an injured worker after the conclusion of the injured worker’s case. This gives both the Division and the injured worker required information as to the conclusion of the matter.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876—2.7(10A):</w:t>
      </w:r>
      <w:r>
        <w:rPr>
          <w:rFonts w:ascii="Times New Roman" w:hAnsi="Times New Roman"/>
          <w:b w:val="false"/>
          <w:i w:val="false"/>
          <w:color w:val="000000"/>
          <w:sz w:val="24"/>
        </w:rPr>
        <w:t xml:space="preserve"> The purpose of this proposed rule is to maintain a centralized official record of a contested case, which allows parties and the Division to easily access filed materials and information about a particular contested case. It also allows for easier conveyance of a certified record of a contested case should that matter be appealed to a district court or appeals court.</w:t>
      </w:r>
    </w:p>
    <w:p>
      <w:pPr>
        <w:spacing w:before="0" w:after="0" w:line="480"/>
        <w:ind w:left="120"/>
        <w:jc w:val="both"/>
      </w:pPr>
      <w:r>
        <w:rPr>
          <w:rFonts w:ascii="Times New Roman" w:hAnsi="Times New Roman"/>
          <w:b w:val="false"/>
          <w:i w:val="false"/>
          <w:color w:val="000000"/>
          <w:sz w:val="24"/>
        </w:rPr>
        <w:t>     ●   </w:t>
      </w:r>
      <w:r>
        <w:rPr>
          <w:rFonts w:ascii="Times New Roman" w:hAnsi="Times New Roman"/>
          <w:b/>
          <w:i w:val="false"/>
          <w:color w:val="000000"/>
          <w:sz w:val="24"/>
        </w:rPr>
        <w:t>Rule 876—2.8(10A):</w:t>
      </w:r>
      <w:r>
        <w:rPr>
          <w:rFonts w:ascii="Times New Roman" w:hAnsi="Times New Roman"/>
          <w:b w:val="false"/>
          <w:i w:val="false"/>
          <w:color w:val="000000"/>
          <w:sz w:val="24"/>
        </w:rPr>
        <w:t xml:space="preserve">  The purpose of this proposed rule is to provide details to parties to a contested case proceeding before the Division as to the requirements for documents filed electronically. This provides clarity to parties so that there are no issues with filing documents. It also creates efficiency for the Division since filed documents are easily accessible for parties and employees of the Division.</w:t>
      </w:r>
    </w:p>
    <w:p>
      <w:pPr>
        <w:spacing w:before="0" w:after="0" w:line="480"/>
        <w:ind w:left="120"/>
        <w:jc w:val="both"/>
      </w:pPr>
      <w:r>
        <w:rPr>
          <w:rFonts w:ascii="Times New Roman" w:hAnsi="Times New Roman"/>
          <w:b w:val="false"/>
          <w:i w:val="false"/>
          <w:color w:val="000000"/>
          <w:sz w:val="24"/>
        </w:rPr>
        <w:t>    The reference to 876—subrule 3.1(2) is to that subrule as published concurrently herein (</w:t>
      </w:r>
      <w:r>
        <w:rPr>
          <w:rFonts w:ascii="Times New Roman" w:hAnsi="Times New Roman"/>
          <w:b/>
          <w:i w:val="false"/>
          <w:color w:val="000000"/>
          <w:sz w:val="24"/>
        </w:rPr>
        <w:t>RA 26-338</w:t>
      </w:r>
      <w:r>
        <w:rPr>
          <w:rFonts w:ascii="Times New Roman" w:hAnsi="Times New Roman"/>
          <w:b w:val="false"/>
          <w:i w:val="false"/>
          <w:color w:val="000000"/>
          <w:sz w:val="24"/>
        </w:rPr>
        <w:t>, IAB 10/14/26).</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a filing fee of $125 for filing an original notice and petition, which is the petitioner’s initial responsibility. In some instances, that fee is recoverable as a cost taxed to the defendant(s). There may also be costs to employers and insurance carriers associated with printing and mailing required documentation to injured workers. Finally, there are costs associated with obtaining opinions regarding permanent impairment from medical providers; however, this is standard in workers’ compensation claims in most states. Additionally, the injured worker can generally recover the cost of obtaining a medical opinion under other portions of Iowa law.</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Injured workers, employers, and insurance carriers benefit from this proposed rulemaking because it provides for flexibility in timeline requirements, which can result in the parties reaching a settlement agreement prior to a contested case hearing. The same parties benefit from the clarity and consistency of knowing which edition of the AMA Guides to the Evaluation of Permanent Impairment is applicable in Iowa for permanent impairment ratings. Additional benefits include the ease of the electronic filing system, which will allow for easier case management, streamlined filing, and less storage space for paper files. There is also benefit to the staff within the Division because the electronic system allows for easy remote access to file materials, as well as minimizing the need for heavy physical files, because many contested cases involve submission of voluminous medical records.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Not applicable.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costs to the Division to implement and enforce these proposed rules involve regular salaries and benefits. The cost to maintain the electronic filing system is between $99,000 and $127,000 annually for the remainder of the contract with Tybera.</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proposed changes to the agency’s budget and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costs associated with this proposed rulemaking allow for the essential functioning of the Division, which is necessary to comply with Iowa law.</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restrictions and costs associated with these proposed rules promote efficiency of the Division and contested case proceedings and also protect Iowa workers and business owners. The restriction on using the Fifth Edition of the AMA Guides to the Evaluation of Permanent Impairment is based on a statutory requirement. Even if the Division did not use the required edition, Iowa Code section 85.34(2) would require the Division to adopt another edition of the AMA Guides to the Evaluation of Permanent Impairment. The Workers’ Compensation Electronic System and maintenance of an electronic file allow for easier storage of file materials, pleadings, exhibits, and decisions. Having requirements for filing documents provides parties with clarity and ensures that documents filed electronically are safe to the State computer system.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agency has not identified any viable alternatives to these proposed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agency has not identified any viable alternatives to these proposed rules.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Chapter 2 does not have a substantial impact on small business because the only costs imposed are mandated by statute. There is no legal basis to create less stringent compliance or reporting requirements based on the size of a business. To do so would place the employees of those businesses at risk should one be injured while working.</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876—Chapter 2</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w:t>
      </w:r>
    </w:p>
    <w:p>
      <w:pPr>
        <w:spacing w:before="0" w:after="0" w:line="480"/>
        <w:ind w:left="120"/>
        <w:jc w:val="center"/>
      </w:pPr>
      <w:r>
        <w:rPr>
          <w:rFonts w:ascii="Times New Roman" w:hAnsi="Times New Roman"/>
          <w:b w:val="false"/>
          <w:i w:val="false"/>
          <w:color w:val="000000"/>
          <w:sz w:val="21"/>
        </w:rPr>
        <w:t>GENERAL PROVISIONS</w:t>
      </w:r>
    </w:p>
    <w:p>
      <w:pPr>
        <w:spacing w:before="0" w:after="0" w:line="480"/>
        <w:ind w:left="120"/>
        <w:jc w:val="both"/>
      </w:pPr>
      <w:r>
        <w:rPr>
          <w:rFonts w:ascii="Times New Roman" w:hAnsi="Times New Roman"/>
          <w:b/>
          <w:i w:val="false"/>
          <w:color w:val="000000"/>
          <w:sz w:val="24"/>
        </w:rPr>
        <w:t>876—2.1</w:t>
      </w:r>
      <w:r>
        <w:rPr>
          <w:rFonts w:ascii="Times New Roman" w:hAnsi="Times New Roman"/>
          <w:b/>
          <w:i w:val="false"/>
          <w:color w:val="000000"/>
          <w:sz w:val="24"/>
        </w:rPr>
        <w:t xml:space="preserve">(10A) </w:t>
      </w:r>
      <w:r>
        <w:rPr>
          <w:rFonts w:ascii="Times New Roman" w:hAnsi="Times New Roman"/>
          <w:b/>
          <w:i w:val="false"/>
          <w:color w:val="000000"/>
          <w:sz w:val="24"/>
        </w:rPr>
        <w:t xml:space="preserve">Extending time and continuances. </w:t>
      </w:r>
      <w:r>
        <w:rPr>
          <w:rFonts w:ascii="Times New Roman" w:hAnsi="Times New Roman"/>
          <w:b w:val="false"/>
          <w:i w:val="false"/>
          <w:color w:val="000000"/>
          <w:sz w:val="24"/>
        </w:rPr>
        <w:t>The workers’ compensation commissioner or a deputy workers’ compensation commissioner may modify the time to comply with any rule for good cause.</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6">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876—2.2</w:t>
      </w:r>
      <w:r>
        <w:rPr>
          <w:rFonts w:ascii="Times New Roman" w:hAnsi="Times New Roman"/>
          <w:b/>
          <w:i w:val="false"/>
          <w:color w:val="000000"/>
          <w:sz w:val="24"/>
        </w:rPr>
        <w:t xml:space="preserve">(85,85A,85B,10A,87) </w:t>
      </w:r>
      <w:r>
        <w:rPr>
          <w:rFonts w:ascii="Times New Roman" w:hAnsi="Times New Roman"/>
          <w:b/>
          <w:i w:val="false"/>
          <w:color w:val="000000"/>
          <w:sz w:val="24"/>
        </w:rPr>
        <w:t xml:space="preserve">Applicability. </w:t>
      </w:r>
      <w:r>
        <w:rPr>
          <w:rFonts w:ascii="Times New Roman" w:hAnsi="Times New Roman"/>
          <w:b w:val="false"/>
          <w:i w:val="false"/>
          <w:color w:val="000000"/>
          <w:sz w:val="24"/>
        </w:rPr>
        <w:t xml:space="preserve">When appropriate, all rules shall apply to Iowa Code chapters </w:t>
      </w:r>
      <w:hyperlink r:id="rId7">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8">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9">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11">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12">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13">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14">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876—2.3</w:t>
      </w:r>
      <w:r>
        <w:rPr>
          <w:rFonts w:ascii="Times New Roman" w:hAnsi="Times New Roman"/>
          <w:b/>
          <w:i w:val="false"/>
          <w:color w:val="000000"/>
          <w:sz w:val="24"/>
        </w:rPr>
        <w:t xml:space="preserve">(10A,87) </w:t>
      </w:r>
      <w:r>
        <w:rPr>
          <w:rFonts w:ascii="Times New Roman" w:hAnsi="Times New Roman"/>
          <w:b/>
          <w:i w:val="false"/>
          <w:color w:val="000000"/>
          <w:sz w:val="24"/>
        </w:rPr>
        <w:t xml:space="preserve">Representative within the state. </w:t>
      </w:r>
      <w:r>
        <w:rPr>
          <w:rFonts w:ascii="Times New Roman" w:hAnsi="Times New Roman"/>
          <w:b w:val="false"/>
          <w:i w:val="false"/>
          <w:color w:val="000000"/>
          <w:sz w:val="24"/>
        </w:rPr>
        <w:t xml:space="preserve">All licensed insurers, foreign and domestic, insuring workers’ compensation and all employers relieved from insurance pursuant to Iowa Code section </w:t>
      </w:r>
      <w:hyperlink r:id="rId15">
        <w:r>
          <w:rPr>
            <w:rStyle w:val="Hyperlink"/>
            <w:rFonts w:ascii="Times New Roman" w:hAnsi="Times New Roman"/>
            <w:b w:val="false"/>
            <w:i w:val="false"/>
            <w:color w:val="000000"/>
            <w:sz w:val="24"/>
          </w:rPr>
          <w:t>87.11</w:t>
        </w:r>
      </w:hyperlink>
      <w:r>
        <w:rPr>
          <w:rFonts w:ascii="Times New Roman" w:hAnsi="Times New Roman"/>
          <w:b w:val="false"/>
          <w:i w:val="false"/>
          <w:color w:val="000000"/>
          <w:sz w:val="24"/>
        </w:rPr>
        <w:t xml:space="preserve"> shall designate one or more persons geographically located within the borders of this state, which person or persons shall be knowledgeable of Iowa workers’ compensation laws and rules and shall be given the authority and have the responsibility to expedite the handling of all matters within the scope of Iowa Code chapters </w:t>
      </w:r>
      <w:hyperlink r:id="rId16">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18">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The Iowa workers’ compensation commissioner shall be advised by letter of the name, address, and telephone number of each of the persons so designated. Any change in the identity, address or telephone number of the persons so designated shall be reported to the Iowa workers’ compensation commissioner within ten days after such change occurs.</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20">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87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876—2.4</w:t>
      </w:r>
      <w:r>
        <w:rPr>
          <w:rFonts w:ascii="Times New Roman" w:hAnsi="Times New Roman"/>
          <w:b/>
          <w:i w:val="false"/>
          <w:color w:val="000000"/>
          <w:sz w:val="24"/>
        </w:rPr>
        <w:t xml:space="preserve">(85,10A) </w:t>
      </w:r>
      <w:r>
        <w:rPr>
          <w:rFonts w:ascii="Times New Roman" w:hAnsi="Times New Roman"/>
          <w:b/>
          <w:i w:val="false"/>
          <w:color w:val="000000"/>
          <w:sz w:val="24"/>
        </w:rPr>
        <w:t xml:space="preserve">Guides to evaluation of permanent impairment. </w:t>
      </w:r>
      <w:r>
        <w:rPr>
          <w:rFonts w:ascii="Times New Roman" w:hAnsi="Times New Roman"/>
          <w:b w:val="false"/>
          <w:i w:val="false"/>
          <w:color w:val="000000"/>
          <w:sz w:val="24"/>
        </w:rPr>
        <w:t xml:space="preserve">The Guides to the Evaluation of Permanent Impairment, Fifth Edition, published by the American Medical Association are adopted for determining the extent of loss or percentage of impairment for permanent partial disabilities and payment of weekly compensation for permanent partial scheduled injuries under Iowa Code section </w:t>
      </w:r>
      <w:hyperlink r:id="rId22">
        <w:r>
          <w:rPr>
            <w:rStyle w:val="Hyperlink"/>
            <w:rFonts w:ascii="Times New Roman" w:hAnsi="Times New Roman"/>
            <w:b w:val="false"/>
            <w:i w:val="false"/>
            <w:color w:val="000000"/>
            <w:sz w:val="24"/>
          </w:rPr>
          <w:t>85.34(2)</w:t>
        </w:r>
      </w:hyperlink>
      <w:r>
        <w:rPr>
          <w:rFonts w:ascii="Times New Roman" w:hAnsi="Times New Roman"/>
          <w:b w:val="false"/>
          <w:i w:val="false"/>
          <w:color w:val="000000"/>
          <w:sz w:val="24"/>
        </w:rPr>
        <w:t xml:space="preserve"> not involving a determination of reduction in an employee’s earning capacity. Payment so made shall be recognized by the workers’ compensation commissioner as a prima facie showing of compliance by the employer or insurance carrier with the foregoing sections of the Iowa workers’ compensation Act. Nothing in this rule shall be construed to prevent the presentations of other medical opinions or other material evidence for the purpose of establishing that the degree of permanent disability to which the claimant would be entitled would be more or less than the entitlement indicated in the Guides to the Evaluation of Permanent Impairment, Fifth Edition, when the reduction in earning capacity for all other permanent partial and permanent total disabilities is determined.</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3">
        <w:r>
          <w:rPr>
            <w:rStyle w:val="Hyperlink"/>
            <w:rFonts w:ascii="Times New Roman" w:hAnsi="Times New Roman"/>
            <w:b w:val="false"/>
            <w:i w:val="false"/>
            <w:color w:val="000000"/>
            <w:sz w:val="24"/>
          </w:rPr>
          <w:t>85.34(2)</w:t>
        </w:r>
      </w:hyperlink>
      <w:r>
        <w:rPr>
          <w:rFonts w:ascii="Times New Roman" w:hAnsi="Times New Roman"/>
          <w:b w:val="false"/>
          <w:i w:val="false"/>
          <w:color w:val="000000"/>
          <w:sz w:val="24"/>
        </w:rPr>
        <w:t xml:space="preserve"> and </w:t>
      </w:r>
      <w:hyperlink r:id="rId24">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876—2.5</w:t>
      </w:r>
      <w:r>
        <w:rPr>
          <w:rFonts w:ascii="Times New Roman" w:hAnsi="Times New Roman"/>
          <w:b/>
          <w:i w:val="false"/>
          <w:color w:val="000000"/>
          <w:sz w:val="24"/>
        </w:rPr>
        <w:t xml:space="preserve">(85,85A,85B,10A) </w:t>
      </w:r>
      <w:r>
        <w:rPr>
          <w:rFonts w:ascii="Times New Roman" w:hAnsi="Times New Roman"/>
          <w:b/>
          <w:i w:val="false"/>
          <w:color w:val="000000"/>
          <w:sz w:val="24"/>
        </w:rPr>
        <w:t xml:space="preserve">Use of workers’ compensation electronic system (WCES) for submission of filings. </w:t>
      </w:r>
      <w:r>
        <w:rPr>
          <w:rFonts w:ascii="Times New Roman" w:hAnsi="Times New Roman"/>
          <w:b w:val="false"/>
          <w:i w:val="false"/>
          <w:color w:val="000000"/>
          <w:sz w:val="24"/>
        </w:rPr>
        <w:t xml:space="preserve">Electronic data interchange (EDI) information, forms, pleadings, responses, motions, briefs, and any other submissions shall be filed through the WCES. The website address for WCES is </w:t>
      </w:r>
      <w:hyperlink r:id="rId25">
        <w:r>
          <w:rPr>
            <w:rStyle w:val="Hyperlink"/>
            <w:rFonts w:ascii="Times New Roman" w:hAnsi="Times New Roman"/>
            <w:b w:val="false"/>
            <w:i w:val="false"/>
            <w:color w:val="000000"/>
            <w:sz w:val="24"/>
            <w:u w:val="single"/>
          </w:rPr>
          <w:t>efile.iowaworkcomp.gov</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Any electronic filing that is quarantined due to a virus will not be considered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2.5(1)</w:t>
      </w:r>
      <w:r>
        <w:rPr>
          <w:rFonts w:ascii="Times New Roman" w:hAnsi="Times New Roman"/>
          <w:b w:val="false"/>
          <w:i w:val="false"/>
          <w:color w:val="000000"/>
          <w:sz w:val="24"/>
        </w:rPr>
        <w:t> </w:t>
      </w:r>
      <w:r>
        <w:rPr>
          <w:rFonts w:ascii="Times New Roman" w:hAnsi="Times New Roman"/>
          <w:b w:val="false"/>
          <w:i w:val="false"/>
          <w:color w:val="000000"/>
          <w:sz w:val="24"/>
        </w:rPr>
        <w:t xml:space="preserve">The workers’ compensation division may grant a request for waiver of the mandatory use of WCES in contested cases pursuant to </w:t>
      </w:r>
      <w:hyperlink r:id="rId26">
        <w:r>
          <w:rPr>
            <w:rStyle w:val="Hyperlink"/>
            <w:rFonts w:ascii="Times New Roman" w:hAnsi="Times New Roman"/>
            <w:b w:val="false"/>
            <w:i w:val="false"/>
            <w:color w:val="000000"/>
            <w:sz w:val="24"/>
          </w:rPr>
          <w:t>7—Chapter 2504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2.5(2)</w:t>
      </w:r>
      <w:r>
        <w:rPr>
          <w:rFonts w:ascii="Times New Roman" w:hAnsi="Times New Roman"/>
          <w:b w:val="false"/>
          <w:i w:val="false"/>
          <w:color w:val="000000"/>
          <w:sz w:val="24"/>
        </w:rPr>
        <w:t> </w:t>
      </w:r>
      <w:r>
        <w:rPr>
          <w:rFonts w:ascii="Times New Roman" w:hAnsi="Times New Roman"/>
          <w:b w:val="false"/>
          <w:i w:val="false"/>
          <w:color w:val="000000"/>
          <w:sz w:val="24"/>
        </w:rPr>
        <w:t>Only a deputy workers’ compensation commissioner or the workers’ compensation commissioner can grant a request for waiver of the mandatory use of WCES in a contested case.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2.5(3)</w:t>
      </w:r>
      <w:r>
        <w:rPr>
          <w:rFonts w:ascii="Times New Roman" w:hAnsi="Times New Roman"/>
          <w:b w:val="false"/>
          <w:i w:val="false"/>
          <w:color w:val="000000"/>
          <w:sz w:val="24"/>
        </w:rPr>
        <w:t> </w:t>
      </w:r>
      <w:r>
        <w:rPr>
          <w:rFonts w:ascii="Times New Roman" w:hAnsi="Times New Roman"/>
          <w:b w:val="false"/>
          <w:i w:val="false"/>
          <w:color w:val="000000"/>
          <w:sz w:val="24"/>
        </w:rPr>
        <w:t>If the division of workers’ compensation grants a waiver of the mandatory use of WCES in a contested case, the division of workers’ compensation shall file paper documents received from the filer in WCES.</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27">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and </w:t>
      </w:r>
      <w:hyperlink r:id="rId28">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29">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876—2.6</w:t>
      </w:r>
      <w:r>
        <w:rPr>
          <w:rFonts w:ascii="Times New Roman" w:hAnsi="Times New Roman"/>
          <w:b/>
          <w:i w:val="false"/>
          <w:color w:val="000000"/>
          <w:sz w:val="24"/>
        </w:rPr>
        <w:t xml:space="preserve">(85,85A,85B,10A) </w:t>
      </w:r>
      <w:r>
        <w:rPr>
          <w:rFonts w:ascii="Times New Roman" w:hAnsi="Times New Roman"/>
          <w:b/>
          <w:i w:val="false"/>
          <w:color w:val="000000"/>
          <w:sz w:val="24"/>
        </w:rPr>
        <w:t xml:space="preserve">Information to employees. </w:t>
      </w:r>
      <w:r>
        <w:rPr>
          <w:rFonts w:ascii="Times New Roman" w:hAnsi="Times New Roman"/>
          <w:b w:val="false"/>
          <w:i w:val="false"/>
          <w:color w:val="000000"/>
          <w:sz w:val="24"/>
        </w:rPr>
        <w:t xml:space="preserve">An employer or its insurance carrier filing a final subsequent report of injury (SROI) with the workers’ compensation commissioner (more information is contained in </w:t>
      </w:r>
      <w:hyperlink r:id="rId30">
        <w:r>
          <w:rPr>
            <w:rStyle w:val="Hyperlink"/>
            <w:rFonts w:ascii="Times New Roman" w:hAnsi="Times New Roman"/>
            <w:b w:val="false"/>
            <w:i w:val="false"/>
            <w:color w:val="000000"/>
            <w:sz w:val="24"/>
          </w:rPr>
          <w:t>876—subrule 3.1(2)</w:t>
        </w:r>
      </w:hyperlink>
      <w:r>
        <w:rPr>
          <w:rFonts w:ascii="Times New Roman" w:hAnsi="Times New Roman"/>
          <w:b w:val="false"/>
          <w:i w:val="false"/>
          <w:color w:val="000000"/>
          <w:sz w:val="24"/>
        </w:rPr>
        <w:t>) shall also mail a copy of the information contained on the final subsequent report of injury to the employee at the employee’s last-known address.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1">
        <w:r>
          <w:rPr>
            <w:rStyle w:val="Hyperlink"/>
            <w:rFonts w:ascii="Times New Roman" w:hAnsi="Times New Roman"/>
            <w:b w:val="false"/>
            <w:i w:val="false"/>
            <w:color w:val="000000"/>
            <w:sz w:val="24"/>
          </w:rPr>
          <w:t>85.26</w:t>
        </w:r>
      </w:hyperlink>
      <w:r>
        <w:rPr>
          <w:rFonts w:ascii="Times New Roman" w:hAnsi="Times New Roman"/>
          <w:b w:val="false"/>
          <w:i w:val="false"/>
          <w:color w:val="000000"/>
          <w:sz w:val="24"/>
        </w:rPr>
        <w:t xml:space="preserve">, </w:t>
      </w:r>
      <w:hyperlink r:id="rId32">
        <w:r>
          <w:rPr>
            <w:rStyle w:val="Hyperlink"/>
            <w:rFonts w:ascii="Times New Roman" w:hAnsi="Times New Roman"/>
            <w:b w:val="false"/>
            <w:i w:val="false"/>
            <w:color w:val="000000"/>
            <w:sz w:val="24"/>
          </w:rPr>
          <w:t>10A.310</w:t>
        </w:r>
      </w:hyperlink>
      <w:r>
        <w:rPr>
          <w:rFonts w:ascii="Times New Roman" w:hAnsi="Times New Roman"/>
          <w:b w:val="false"/>
          <w:i w:val="false"/>
          <w:color w:val="000000"/>
          <w:sz w:val="24"/>
        </w:rPr>
        <w:t xml:space="preserve">, </w:t>
      </w:r>
      <w:hyperlink r:id="rId33">
        <w:r>
          <w:rPr>
            <w:rStyle w:val="Hyperlink"/>
            <w:rFonts w:ascii="Times New Roman" w:hAnsi="Times New Roman"/>
            <w:b w:val="false"/>
            <w:i w:val="false"/>
            <w:color w:val="000000"/>
            <w:sz w:val="24"/>
          </w:rPr>
          <w:t>10A.313</w:t>
        </w:r>
      </w:hyperlink>
      <w:r>
        <w:rPr>
          <w:rFonts w:ascii="Times New Roman" w:hAnsi="Times New Roman"/>
          <w:b w:val="false"/>
          <w:i w:val="false"/>
          <w:color w:val="000000"/>
          <w:sz w:val="24"/>
        </w:rPr>
        <w:t xml:space="preserve">, and </w:t>
      </w:r>
      <w:hyperlink r:id="rId34">
        <w:r>
          <w:rPr>
            <w:rStyle w:val="Hyperlink"/>
            <w:rFonts w:ascii="Times New Roman" w:hAnsi="Times New Roman"/>
            <w:b w:val="false"/>
            <w:i w:val="false"/>
            <w:color w:val="000000"/>
            <w:sz w:val="24"/>
          </w:rPr>
          <w:t>10A.315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876—2.7</w:t>
      </w:r>
      <w:r>
        <w:rPr>
          <w:rFonts w:ascii="Times New Roman" w:hAnsi="Times New Roman"/>
          <w:b/>
          <w:i w:val="false"/>
          <w:color w:val="000000"/>
          <w:sz w:val="24"/>
        </w:rPr>
        <w:t xml:space="preserve">(10A) </w:t>
      </w:r>
      <w:r>
        <w:rPr>
          <w:rFonts w:ascii="Times New Roman" w:hAnsi="Times New Roman"/>
          <w:b/>
          <w:i w:val="false"/>
          <w:color w:val="000000"/>
          <w:sz w:val="24"/>
        </w:rPr>
        <w:t xml:space="preserve">Official record. </w:t>
      </w:r>
      <w:r>
        <w:rPr>
          <w:rFonts w:ascii="Times New Roman" w:hAnsi="Times New Roman"/>
          <w:b w:val="false"/>
          <w:i w:val="false"/>
          <w:color w:val="000000"/>
          <w:sz w:val="24"/>
        </w:rPr>
        <w:t>The electronic record made and maintained by the workers’ compensation division is the official record of a contested case.</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35">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and </w:t>
      </w:r>
      <w:hyperlink r:id="rId36">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37">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876—2.8</w:t>
      </w:r>
      <w:r>
        <w:rPr>
          <w:rFonts w:ascii="Times New Roman" w:hAnsi="Times New Roman"/>
          <w:b/>
          <w:i w:val="false"/>
          <w:color w:val="000000"/>
          <w:sz w:val="24"/>
        </w:rPr>
        <w:t xml:space="preserve">(10A) </w:t>
      </w:r>
      <w:r>
        <w:rPr>
          <w:rFonts w:ascii="Times New Roman" w:hAnsi="Times New Roman"/>
          <w:b/>
          <w:i w:val="false"/>
          <w:color w:val="000000"/>
          <w:sz w:val="24"/>
        </w:rPr>
        <w:t xml:space="preserve">Document requirements. </w:t>
      </w:r>
      <w:r>
        <w:rPr>
          <w:rFonts w:ascii="Times New Roman" w:hAnsi="Times New Roman"/>
          <w:b w:val="false"/>
          <w:i w:val="false"/>
          <w:color w:val="000000"/>
          <w:sz w:val="24"/>
        </w:rPr>
        <w:t>Pleadings, responses to pleadings, exhibits, and transcripts submitted to the workers’ compensation division shall be scanned, attached, and filed in portable document format (pdf) or as image-on-text documents (searchable pdf). A hearing report or proposed order or proposed ruling shall be submitted as a pdf or searchable pdf. Transcripts submitted shall include an index. Filings shall not exceed 20 megabytes (MB). Documents exceeding 20 MB shall be divided and submitted as separate attachments to comply with this size limit. All filings pursuant to this rule shall be submitted via WCES unless otherwise ordered by the workers’ compensation commissioner or a deputy workers’ compensation commissioner. Audio or video files shall use MP3 or MP4 format and shall be submitted with a virus-scanned USB drive and shall not exceed 500 MB for each filing.</w:t>
      </w:r>
    </w:p>
    <w:p>
      <w:pPr>
        <w:spacing w:before="0" w:after="0" w:line="480"/>
        <w:ind w:left="120"/>
        <w:jc w:val="both"/>
      </w:pPr>
      <w:r>
        <w:rPr>
          <w:rFonts w:ascii="Times New Roman" w:hAnsi="Times New Roman"/>
          <w:b w:val="false"/>
          <w:i w:val="false"/>
          <w:color w:val="000000"/>
          <w:sz w:val="24"/>
        </w:rPr>
        <w:t xml:space="preserve">This rule is intended to implement Iowa Code chapters </w:t>
      </w:r>
      <w:hyperlink r:id="rId38">
        <w:r>
          <w:rPr>
            <w:rStyle w:val="Hyperlink"/>
            <w:rFonts w:ascii="Times New Roman" w:hAnsi="Times New Roman"/>
            <w:b w:val="false"/>
            <w:i w:val="false"/>
            <w:color w:val="000000"/>
            <w:sz w:val="24"/>
          </w:rPr>
          <w:t>10A</w:t>
        </w:r>
      </w:hyperlink>
      <w:r>
        <w:rPr>
          <w:rFonts w:ascii="Times New Roman" w:hAnsi="Times New Roman"/>
          <w:b w:val="false"/>
          <w:i w:val="false"/>
          <w:color w:val="000000"/>
          <w:sz w:val="24"/>
        </w:rPr>
        <w:t xml:space="preserve"> and </w:t>
      </w:r>
      <w:hyperlink r:id="rId39">
        <w:r>
          <w:rPr>
            <w:rStyle w:val="Hyperlink"/>
            <w:rFonts w:ascii="Times New Roman" w:hAnsi="Times New Roman"/>
            <w:b w:val="false"/>
            <w:i w:val="false"/>
            <w:color w:val="000000"/>
            <w:sz w:val="24"/>
          </w:rPr>
          <w:t>85</w:t>
        </w:r>
      </w:hyperlink>
      <w:r>
        <w:rPr>
          <w:rFonts w:ascii="Times New Roman" w:hAnsi="Times New Roman"/>
          <w:b w:val="false"/>
          <w:i w:val="false"/>
          <w:color w:val="000000"/>
          <w:sz w:val="24"/>
        </w:rPr>
        <w:t xml:space="preserve"> through </w:t>
      </w:r>
      <w:hyperlink r:id="rId40">
        <w:r>
          <w:rPr>
            <w:rStyle w:val="Hyperlink"/>
            <w:rFonts w:ascii="Times New Roman" w:hAnsi="Times New Roman"/>
            <w:b w:val="false"/>
            <w:i w:val="false"/>
            <w:color w:val="000000"/>
            <w:sz w:val="24"/>
          </w:rPr>
          <w:t>85B</w:t>
        </w:r>
      </w:hyperlink>
      <w:r>
        <w:rPr>
          <w:rFonts w:ascii="Times New Roman" w:hAnsi="Times New Roman"/>
          <w:b w:val="false"/>
          <w:i w:val="false"/>
          <w:color w:val="000000"/>
          <w:sz w:val="24"/>
        </w:rPr>
        <w:t>.</w:t>
      </w:r>
    </w:p>
    <w:sectPr>
      <w:footerReference r:id="rId4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dial-iowa-gov.zoom.us/j/81654334225?pwd=5JUj7K10vOhVPFGUp2QWlyI2imRXx9.1" Type="http://schemas.openxmlformats.org/officeDocument/2006/relationships/hyperlink" Id="rId4"/>
    <Relationship TargetMode="External" Target="mailto:william.grell@dia.iowa.gov" Type="http://schemas.openxmlformats.org/officeDocument/2006/relationships/hyperlink" Id="rId5"/>
    <Relationship TargetMode="External" Target="https://www.legis.iowa.gov/docs/ico/chapter/10A.pdf" Type="http://schemas.openxmlformats.org/officeDocument/2006/relationships/hyperlink" Id="rId6"/>
    <Relationship TargetMode="External" Target="https://www.legis.iowa.gov/docs/ico/chapter/10A.pdf" Type="http://schemas.openxmlformats.org/officeDocument/2006/relationships/hyperlink" Id="rId7"/>
    <Relationship TargetMode="External" Target="https://www.legis.iowa.gov/docs/ico/chapter/85.pdf" Type="http://schemas.openxmlformats.org/officeDocument/2006/relationships/hyperlink" Id="rId8"/>
    <Relationship TargetMode="External" Target="https://www.legis.iowa.gov/docs/ico/chapter/85B.pdf" Type="http://schemas.openxmlformats.org/officeDocument/2006/relationships/hyperlink" Id="rId9"/>
    <Relationship TargetMode="External" Target="https://www.legis.iowa.gov/docs/ico/chapter/87.pdf" Type="http://schemas.openxmlformats.org/officeDocument/2006/relationships/hyperlink" Id="rId10"/>
    <Relationship TargetMode="External" Target="https://www.legis.iowa.gov/docs/ico/chapter/10A.pdf" Type="http://schemas.openxmlformats.org/officeDocument/2006/relationships/hyperlink" Id="rId11"/>
    <Relationship TargetMode="External" Target="https://www.legis.iowa.gov/docs/ico/chapter/85.pdf" Type="http://schemas.openxmlformats.org/officeDocument/2006/relationships/hyperlink" Id="rId12"/>
    <Relationship TargetMode="External" Target="https://www.legis.iowa.gov/docs/ico/chapter/85B.pdf" Type="http://schemas.openxmlformats.org/officeDocument/2006/relationships/hyperlink" Id="rId13"/>
    <Relationship TargetMode="External" Target="https://www.legis.iowa.gov/docs/ico/chapter/87.pdf" Type="http://schemas.openxmlformats.org/officeDocument/2006/relationships/hyperlink" Id="rId14"/>
    <Relationship TargetMode="External" Target="https://www.legis.iowa.gov/docs/ico/chapter/87.11.pdf" Type="http://schemas.openxmlformats.org/officeDocument/2006/relationships/hyperlink" Id="rId15"/>
    <Relationship TargetMode="External" Target="https://www.legis.iowa.gov/docs/ico/chapter/10A.pdf" Type="http://schemas.openxmlformats.org/officeDocument/2006/relationships/hyperlink" Id="rId16"/>
    <Relationship TargetMode="External" Target="https://www.legis.iowa.gov/docs/ico/chapter/85.pdf" Type="http://schemas.openxmlformats.org/officeDocument/2006/relationships/hyperlink" Id="rId17"/>
    <Relationship TargetMode="External" Target="https://www.legis.iowa.gov/docs/ico/chapter/85B.pdf" Type="http://schemas.openxmlformats.org/officeDocument/2006/relationships/hyperlink" Id="rId18"/>
    <Relationship TargetMode="External" Target="https://www.legis.iowa.gov/docs/ico/chapter/87.pdf" Type="http://schemas.openxmlformats.org/officeDocument/2006/relationships/hyperlink" Id="rId19"/>
    <Relationship TargetMode="External" Target="https://www.legis.iowa.gov/docs/ico/chapter/10A.pdf" Type="http://schemas.openxmlformats.org/officeDocument/2006/relationships/hyperlink" Id="rId20"/>
    <Relationship TargetMode="External" Target="https://www.legis.iowa.gov/docs/ico/chapter/87.pdf" Type="http://schemas.openxmlformats.org/officeDocument/2006/relationships/hyperlink" Id="rId21"/>
    <Relationship TargetMode="External" Target="https://www.legis.iowa.gov/docs/ico/chapter/85.34.pdf" Type="http://schemas.openxmlformats.org/officeDocument/2006/relationships/hyperlink" Id="rId22"/>
    <Relationship TargetMode="External" Target="https://www.legis.iowa.gov/docs/ico/chapter/85.34.pdf" Type="http://schemas.openxmlformats.org/officeDocument/2006/relationships/hyperlink" Id="rId23"/>
    <Relationship TargetMode="External" Target="https://www.legis.iowa.gov/docs/ico/chapter/10A.310.pdf" Type="http://schemas.openxmlformats.org/officeDocument/2006/relationships/hyperlink" Id="rId24"/>
    <Relationship TargetMode="External" Target="http://efile.iowaworkcomp.gov" Type="http://schemas.openxmlformats.org/officeDocument/2006/relationships/hyperlink" Id="rId25"/>
    <Relationship TargetMode="External" Target="https://www.legis.iowa.gov/docs/iac/chapter/7.2504.pdf" Type="http://schemas.openxmlformats.org/officeDocument/2006/relationships/hyperlink" Id="rId26"/>
    <Relationship TargetMode="External" Target="https://www.legis.iowa.gov/docs/ico/chapter/10A.pdf" Type="http://schemas.openxmlformats.org/officeDocument/2006/relationships/hyperlink" Id="rId27"/>
    <Relationship TargetMode="External" Target="https://www.legis.iowa.gov/docs/ico/chapter/85.pdf" Type="http://schemas.openxmlformats.org/officeDocument/2006/relationships/hyperlink" Id="rId28"/>
    <Relationship TargetMode="External" Target="https://www.legis.iowa.gov/docs/ico/chapter/85B.pdf" Type="http://schemas.openxmlformats.org/officeDocument/2006/relationships/hyperlink" Id="rId29"/>
    <Relationship TargetMode="External" Target="https://www.legis.iowa.gov/docs/iac/rule/876.3.1.pdf" Type="http://schemas.openxmlformats.org/officeDocument/2006/relationships/hyperlink" Id="rId30"/>
    <Relationship TargetMode="External" Target="https://www.legis.iowa.gov/docs/ico/chapter/85.26.pdf" Type="http://schemas.openxmlformats.org/officeDocument/2006/relationships/hyperlink" Id="rId31"/>
    <Relationship TargetMode="External" Target="https://www.legis.iowa.gov/docs/ico/chapter/10A.310.pdf" Type="http://schemas.openxmlformats.org/officeDocument/2006/relationships/hyperlink" Id="rId32"/>
    <Relationship TargetMode="External" Target="https://www.legis.iowa.gov/docs/ico/chapter/10A.313.pdf" Type="http://schemas.openxmlformats.org/officeDocument/2006/relationships/hyperlink" Id="rId33"/>
    <Relationship TargetMode="External" Target="https://www.legis.iowa.gov/docs/ico/chapter/10A.315.pdf" Type="http://schemas.openxmlformats.org/officeDocument/2006/relationships/hyperlink" Id="rId34"/>
    <Relationship TargetMode="External" Target="https://www.legis.iowa.gov/docs/ico/chapter/10A.pdf" Type="http://schemas.openxmlformats.org/officeDocument/2006/relationships/hyperlink" Id="rId35"/>
    <Relationship TargetMode="External" Target="https://www.legis.iowa.gov/docs/ico/chapter/85.pdf" Type="http://schemas.openxmlformats.org/officeDocument/2006/relationships/hyperlink" Id="rId36"/>
    <Relationship TargetMode="External" Target="https://www.legis.iowa.gov/docs/ico/chapter/85B.pdf" Type="http://schemas.openxmlformats.org/officeDocument/2006/relationships/hyperlink" Id="rId37"/>
    <Relationship TargetMode="External" Target="https://www.legis.iowa.gov/docs/ico/chapter/10A.pdf" Type="http://schemas.openxmlformats.org/officeDocument/2006/relationships/hyperlink" Id="rId38"/>
    <Relationship TargetMode="External" Target="https://www.legis.iowa.gov/docs/ico/chapter/85.pdf" Type="http://schemas.openxmlformats.org/officeDocument/2006/relationships/hyperlink" Id="rId39"/>
    <Relationship TargetMode="External" Target="https://www.legis.iowa.gov/docs/ico/chapter/85B.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